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AF" w:rsidRPr="00B91BAF" w:rsidRDefault="00B91BAF" w:rsidP="00B91BAF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  <w:r w:rsidRPr="00B91BAF">
        <w:rPr>
          <w:rStyle w:val="Strong"/>
          <w:rFonts w:ascii="Open Sans" w:hAnsi="Open Sans" w:cs="Open Sans"/>
          <w:b/>
          <w:bCs/>
          <w:sz w:val="23"/>
          <w:szCs w:val="23"/>
          <w:u w:val="single"/>
        </w:rPr>
        <w:t>Education:</w:t>
      </w:r>
    </w:p>
    <w:p w:rsidR="00B91BAF" w:rsidRDefault="00B91BAF" w:rsidP="00B91BAF">
      <w:pPr>
        <w:pStyle w:val="NormalWeb"/>
        <w:shd w:val="clear" w:color="auto" w:fill="FFFFFF"/>
        <w:rPr>
          <w:rStyle w:val="Strong"/>
          <w:rFonts w:ascii="Open Sans" w:hAnsi="Open Sans" w:cs="Open Sans"/>
          <w:color w:val="4A5155"/>
          <w:sz w:val="20"/>
          <w:szCs w:val="20"/>
        </w:rPr>
      </w:pPr>
      <w:r>
        <w:rPr>
          <w:rStyle w:val="Strong"/>
          <w:rFonts w:ascii="Open Sans" w:hAnsi="Open Sans" w:cs="Open Sans"/>
          <w:color w:val="4A5155"/>
          <w:sz w:val="20"/>
          <w:szCs w:val="20"/>
        </w:rPr>
        <w:t>Nagoya Institute of Technology, Engineering Faculty</w:t>
      </w:r>
      <w:r>
        <w:rPr>
          <w:rFonts w:ascii="Open Sans" w:hAnsi="Open Sans" w:cs="Open Sans"/>
          <w:color w:val="4A5155"/>
          <w:sz w:val="20"/>
          <w:szCs w:val="20"/>
        </w:rPr>
        <w:br/>
        <w:t>1979 Bachelor of Engineering – Synthesis Chemistry</w:t>
      </w:r>
      <w:r>
        <w:rPr>
          <w:rFonts w:ascii="Open Sans" w:hAnsi="Open Sans" w:cs="Open Sans"/>
          <w:color w:val="4A5155"/>
          <w:sz w:val="20"/>
          <w:szCs w:val="20"/>
        </w:rPr>
        <w:br/>
        <w:t>1981 Master of Engineering – Polymer Science</w:t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Style w:val="Strong"/>
          <w:rFonts w:ascii="Open Sans" w:hAnsi="Open Sans" w:cs="Open Sans"/>
          <w:color w:val="4A5155"/>
          <w:sz w:val="20"/>
          <w:szCs w:val="20"/>
        </w:rPr>
        <w:t>Hokkaido University, Graduate School of Engineering</w:t>
      </w:r>
    </w:p>
    <w:p w:rsidR="00B91BAF" w:rsidRDefault="00B91BAF" w:rsidP="00B91BAF">
      <w:pPr>
        <w:pStyle w:val="NormalWeb"/>
        <w:shd w:val="clear" w:color="auto" w:fill="FFFFFF"/>
        <w:rPr>
          <w:rStyle w:val="Strong"/>
          <w:rFonts w:ascii="Open Sans" w:hAnsi="Open Sans" w:cs="Open Sans"/>
          <w:color w:val="4A5155"/>
          <w:sz w:val="20"/>
          <w:szCs w:val="20"/>
          <w:u w:val="single"/>
        </w:rPr>
      </w:pPr>
      <w:proofErr w:type="gramStart"/>
      <w:r>
        <w:rPr>
          <w:rFonts w:ascii="Open Sans" w:hAnsi="Open Sans" w:cs="Open Sans"/>
          <w:color w:val="4A5155"/>
          <w:sz w:val="20"/>
          <w:szCs w:val="20"/>
        </w:rPr>
        <w:t xml:space="preserve">2010 PhD in Engineering - Title of Thesis “Working mechanism and material design of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polycarboxylate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– ether (PCE)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superplasticizers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for concrete.”</w:t>
      </w:r>
      <w:proofErr w:type="gramEnd"/>
      <w:r>
        <w:rPr>
          <w:rFonts w:ascii="Open Sans" w:hAnsi="Open Sans" w:cs="Open Sans"/>
          <w:color w:val="4A5155"/>
          <w:sz w:val="20"/>
          <w:szCs w:val="20"/>
        </w:rPr>
        <w:t xml:space="preserve"> </w:t>
      </w:r>
      <w:proofErr w:type="gramStart"/>
      <w:r>
        <w:rPr>
          <w:rFonts w:ascii="Open Sans" w:hAnsi="Open Sans" w:cs="Open Sans"/>
          <w:color w:val="4A5155"/>
          <w:sz w:val="20"/>
          <w:szCs w:val="20"/>
        </w:rPr>
        <w:t xml:space="preserve">Under Professor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Toyoharu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Nawa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>, Dean of Faculty Graduate School, and School and Engineering, and incumbent President of Hokkaido University.</w:t>
      </w:r>
      <w:proofErr w:type="gramEnd"/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</w:rPr>
        <w:br/>
      </w:r>
      <w:r w:rsidRPr="00B91BAF">
        <w:rPr>
          <w:rStyle w:val="Strong"/>
          <w:rFonts w:ascii="Open Sans" w:hAnsi="Open Sans" w:cs="Open Sans"/>
          <w:color w:val="4A5155"/>
          <w:sz w:val="20"/>
          <w:szCs w:val="20"/>
          <w:u w:val="single"/>
        </w:rPr>
        <w:t>Awards:</w:t>
      </w:r>
    </w:p>
    <w:p w:rsidR="00B91BAF" w:rsidRDefault="00B91BAF" w:rsidP="00B91BAF">
      <w:pPr>
        <w:pStyle w:val="NormalWeb"/>
        <w:shd w:val="clear" w:color="auto" w:fill="FFFFFF"/>
        <w:spacing w:line="300" w:lineRule="atLeast"/>
        <w:rPr>
          <w:rStyle w:val="Strong"/>
          <w:rFonts w:ascii="Open Sans" w:hAnsi="Open Sans" w:cs="Open Sans"/>
          <w:color w:val="4A5155"/>
          <w:sz w:val="22"/>
          <w:szCs w:val="20"/>
        </w:rPr>
      </w:pPr>
      <w:r>
        <w:rPr>
          <w:rFonts w:ascii="Open Sans" w:hAnsi="Open Sans" w:cs="Open Sans"/>
          <w:color w:val="4A5155"/>
          <w:sz w:val="20"/>
          <w:szCs w:val="20"/>
        </w:rPr>
        <w:t xml:space="preserve">2013 Hans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Kühl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Award from the German Chemical Society for the invention of PCE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superplasticizers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br/>
        <w:t xml:space="preserve">2010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Technische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Universität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München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- Rudolf Diesel Industry Fellow at Institute for Advanced Study</w:t>
      </w:r>
      <w:r>
        <w:rPr>
          <w:rFonts w:ascii="Open Sans" w:hAnsi="Open Sans" w:cs="Open Sans"/>
          <w:color w:val="4A5155"/>
          <w:sz w:val="20"/>
          <w:szCs w:val="20"/>
        </w:rPr>
        <w:br/>
        <w:t xml:space="preserve">2006 Tokyo Institute of Technology - The 3rd Professors Kondo and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Daimon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Prize for the invention and developments of PCE </w:t>
      </w:r>
      <w:proofErr w:type="spellStart"/>
      <w:r>
        <w:rPr>
          <w:rFonts w:ascii="Open Sans" w:hAnsi="Open Sans" w:cs="Open Sans"/>
          <w:color w:val="4A5155"/>
          <w:sz w:val="20"/>
          <w:szCs w:val="20"/>
        </w:rPr>
        <w:t>superplasticizers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for concrete</w:t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</w:rPr>
        <w:br/>
      </w:r>
      <w:r w:rsidRPr="00B91BAF">
        <w:rPr>
          <w:rStyle w:val="Strong"/>
          <w:rFonts w:ascii="Open Sans" w:hAnsi="Open Sans" w:cs="Open Sans"/>
          <w:color w:val="4A5155"/>
          <w:sz w:val="22"/>
          <w:szCs w:val="20"/>
        </w:rPr>
        <w:t xml:space="preserve">Focus </w:t>
      </w:r>
      <w:proofErr w:type="spellStart"/>
      <w:r w:rsidRPr="00B91BAF">
        <w:rPr>
          <w:rStyle w:val="Strong"/>
          <w:rFonts w:ascii="Open Sans" w:hAnsi="Open Sans" w:cs="Open Sans"/>
          <w:color w:val="4A5155"/>
          <w:sz w:val="22"/>
          <w:szCs w:val="20"/>
        </w:rPr>
        <w:t>amd</w:t>
      </w:r>
      <w:proofErr w:type="spellEnd"/>
      <w:r w:rsidRPr="00B91BAF">
        <w:rPr>
          <w:rStyle w:val="Strong"/>
          <w:rFonts w:ascii="Open Sans" w:hAnsi="Open Sans" w:cs="Open Sans"/>
          <w:color w:val="4A5155"/>
          <w:sz w:val="22"/>
          <w:szCs w:val="20"/>
        </w:rPr>
        <w:t xml:space="preserve"> principal areas of Research:</w:t>
      </w:r>
    </w:p>
    <w:p w:rsidR="00B91BAF" w:rsidRDefault="00B91BAF" w:rsidP="00B91BAF">
      <w:pPr>
        <w:pStyle w:val="NormalWeb"/>
        <w:shd w:val="clear" w:color="auto" w:fill="FFFFFF"/>
        <w:spacing w:line="300" w:lineRule="atLeast"/>
        <w:rPr>
          <w:rStyle w:val="Strong"/>
          <w:rFonts w:ascii="Open Sans" w:hAnsi="Open Sans" w:cs="Open Sans"/>
          <w:color w:val="4A5155"/>
          <w:sz w:val="20"/>
          <w:szCs w:val="20"/>
        </w:rPr>
      </w:pPr>
      <w:proofErr w:type="spellStart"/>
      <w:r>
        <w:rPr>
          <w:rFonts w:ascii="Open Sans" w:hAnsi="Open Sans" w:cs="Open Sans"/>
          <w:color w:val="4A5155"/>
          <w:sz w:val="20"/>
          <w:szCs w:val="20"/>
        </w:rPr>
        <w:t>Superplasticizers</w:t>
      </w:r>
      <w:proofErr w:type="spellEnd"/>
      <w:r>
        <w:rPr>
          <w:rFonts w:ascii="Open Sans" w:hAnsi="Open Sans" w:cs="Open Sans"/>
          <w:color w:val="4A5155"/>
          <w:sz w:val="20"/>
          <w:szCs w:val="20"/>
        </w:rPr>
        <w:t xml:space="preserve"> for concrete</w:t>
      </w:r>
      <w:r>
        <w:rPr>
          <w:rFonts w:ascii="Open Sans" w:hAnsi="Open Sans" w:cs="Open Sans"/>
          <w:color w:val="4A5155"/>
          <w:sz w:val="20"/>
          <w:szCs w:val="20"/>
        </w:rPr>
        <w:br/>
        <w:t>Additives for concrete</w:t>
      </w:r>
      <w:r>
        <w:rPr>
          <w:rFonts w:ascii="Open Sans" w:hAnsi="Open Sans" w:cs="Open Sans"/>
          <w:color w:val="4A5155"/>
          <w:sz w:val="20"/>
          <w:szCs w:val="20"/>
        </w:rPr>
        <w:br/>
        <w:t>Water soluble polymers</w:t>
      </w:r>
      <w:r>
        <w:rPr>
          <w:rFonts w:ascii="Open Sans" w:hAnsi="Open Sans" w:cs="Open Sans"/>
          <w:color w:val="4A5155"/>
          <w:sz w:val="20"/>
          <w:szCs w:val="20"/>
        </w:rPr>
        <w:br/>
        <w:t>Synthesis of polymers</w:t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Style w:val="Strong"/>
          <w:rFonts w:ascii="Open Sans" w:hAnsi="Open Sans" w:cs="Open Sans"/>
          <w:color w:val="4A5155"/>
          <w:sz w:val="20"/>
          <w:szCs w:val="20"/>
        </w:rPr>
        <w:t>Patents:</w:t>
      </w:r>
    </w:p>
    <w:p w:rsidR="00B91BAF" w:rsidRDefault="00B91BAF" w:rsidP="00B91BAF">
      <w:pPr>
        <w:pStyle w:val="NormalWeb"/>
        <w:shd w:val="clear" w:color="auto" w:fill="FFFFFF"/>
        <w:spacing w:line="300" w:lineRule="atLeast"/>
        <w:rPr>
          <w:rFonts w:ascii="Open Sans" w:hAnsi="Open Sans" w:cs="Open Sans"/>
          <w:color w:val="4A5155"/>
          <w:sz w:val="20"/>
          <w:szCs w:val="20"/>
        </w:rPr>
      </w:pPr>
      <w:r>
        <w:rPr>
          <w:rFonts w:ascii="Open Sans" w:hAnsi="Open Sans" w:cs="Open Sans"/>
          <w:color w:val="4A5155"/>
          <w:sz w:val="20"/>
          <w:szCs w:val="20"/>
        </w:rPr>
        <w:t>Over 100 registered patents in Japan and more than 50 outside Japan</w:t>
      </w:r>
    </w:p>
    <w:p w:rsidR="00B91BAF" w:rsidRDefault="00B91BAF" w:rsidP="00B91BAF">
      <w:pPr>
        <w:pStyle w:val="NormalWeb"/>
        <w:shd w:val="clear" w:color="auto" w:fill="FFFFFF"/>
        <w:spacing w:line="300" w:lineRule="atLeast"/>
        <w:rPr>
          <w:rFonts w:ascii="Open Sans" w:hAnsi="Open Sans" w:cs="Open Sans"/>
          <w:color w:val="4A5155"/>
          <w:sz w:val="20"/>
          <w:szCs w:val="20"/>
        </w:rPr>
      </w:pPr>
      <w:r>
        <w:rPr>
          <w:rStyle w:val="Strong"/>
          <w:rFonts w:ascii="Open Sans" w:hAnsi="Open Sans" w:cs="Open Sans"/>
          <w:color w:val="4A5155"/>
          <w:sz w:val="20"/>
          <w:szCs w:val="20"/>
        </w:rPr>
        <w:t>Professional Career:</w:t>
      </w:r>
    </w:p>
    <w:tbl>
      <w:tblPr>
        <w:tblW w:w="96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8483"/>
      </w:tblGrid>
      <w:tr w:rsidR="00B91BAF" w:rsidTr="00B91BAF">
        <w:trPr>
          <w:trHeight w:val="335"/>
        </w:trPr>
        <w:tc>
          <w:tcPr>
            <w:tcW w:w="0" w:type="auto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jc w:val="center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proofErr w:type="spellStart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Technische</w:t>
            </w:r>
            <w:proofErr w:type="spellEnd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Universität</w:t>
            </w:r>
            <w:proofErr w:type="spellEnd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 xml:space="preserve"> </w:t>
            </w:r>
            <w:proofErr w:type="spellStart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München</w:t>
            </w:r>
            <w:proofErr w:type="spellEnd"/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 xml:space="preserve"> (TUM)</w:t>
            </w:r>
          </w:p>
        </w:tc>
      </w:tr>
      <w:tr w:rsidR="00B91BAF" w:rsidTr="00B91BAF">
        <w:trPr>
          <w:trHeight w:val="314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From 2014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Honorary Life Member Advisory Board at TUM Center for Advanced PCE Studies</w:t>
            </w:r>
          </w:p>
        </w:tc>
      </w:tr>
      <w:tr w:rsidR="00B91BAF" w:rsidTr="00B91BAF">
        <w:trPr>
          <w:trHeight w:val="314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From 2010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Rudolf Diesel Industry Fellow at Institute for Advanced Study</w:t>
            </w:r>
          </w:p>
        </w:tc>
      </w:tr>
      <w:tr w:rsidR="00B91BAF" w:rsidTr="00B91BAF">
        <w:trPr>
          <w:trHeight w:val="335"/>
        </w:trPr>
        <w:tc>
          <w:tcPr>
            <w:tcW w:w="0" w:type="auto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jc w:val="center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Style w:val="Strong"/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Nippon Shokubai Co., Ltd., Japan</w:t>
            </w:r>
          </w:p>
        </w:tc>
      </w:tr>
      <w:tr w:rsidR="00B91BAF" w:rsidTr="00B91BAF">
        <w:trPr>
          <w:trHeight w:val="314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General Manager and Fellow</w:t>
            </w:r>
          </w:p>
        </w:tc>
      </w:tr>
      <w:tr w:rsidR="00B91BAF" w:rsidTr="00B91BAF">
        <w:trPr>
          <w:trHeight w:val="314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Polymer Research Center; Section Manager</w:t>
            </w:r>
          </w:p>
        </w:tc>
      </w:tr>
      <w:tr w:rsidR="00B91BAF" w:rsidTr="00B91BAF">
        <w:trPr>
          <w:trHeight w:val="335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1995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Polymer Research Center; Research Manager</w:t>
            </w:r>
          </w:p>
        </w:tc>
      </w:tr>
      <w:tr w:rsidR="00B91BAF" w:rsidTr="00B91BAF">
        <w:trPr>
          <w:trHeight w:val="314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22222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22222"/>
                <w:sz w:val="22"/>
                <w:szCs w:val="22"/>
              </w:rPr>
              <w:t>1981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9F9F9"/>
            <w:vAlign w:val="center"/>
            <w:hideMark/>
          </w:tcPr>
          <w:p w:rsidR="00B91BAF" w:rsidRPr="00B91BAF" w:rsidRDefault="00B91BAF">
            <w:pPr>
              <w:pStyle w:val="NormalWeb"/>
              <w:wordWrap w:val="0"/>
              <w:spacing w:before="0" w:beforeAutospacing="0"/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</w:pPr>
            <w:r w:rsidRPr="00B91BAF">
              <w:rPr>
                <w:rFonts w:asciiTheme="minorHAnsi" w:hAnsiTheme="minorHAnsi" w:cs="Open Sans"/>
                <w:color w:val="262626" w:themeColor="text1" w:themeTint="D9"/>
                <w:sz w:val="22"/>
                <w:szCs w:val="22"/>
              </w:rPr>
              <w:t>Central Research Center; Research and Development chemist</w:t>
            </w:r>
          </w:p>
        </w:tc>
      </w:tr>
    </w:tbl>
    <w:p w:rsidR="00761EF6" w:rsidRDefault="00761EF6" w:rsidP="00B91BAF"/>
    <w:p w:rsidR="00B91BAF" w:rsidRDefault="00B91BAF" w:rsidP="00B91BAF"/>
    <w:p w:rsidR="00B91BAF" w:rsidRDefault="00B91BAF" w:rsidP="00B91BAF">
      <w:pPr>
        <w:spacing w:before="79"/>
        <w:ind w:left="4016" w:right="3975"/>
        <w:jc w:val="center"/>
        <w:rPr>
          <w:b/>
          <w:sz w:val="24"/>
        </w:rPr>
      </w:pPr>
      <w:r>
        <w:rPr>
          <w:b/>
          <w:color w:val="141414"/>
          <w:sz w:val="24"/>
        </w:rPr>
        <w:t>Published Theses</w:t>
      </w:r>
    </w:p>
    <w:p w:rsidR="00B91BAF" w:rsidRDefault="00B91BAF" w:rsidP="00B91BAF">
      <w:pPr>
        <w:rPr>
          <w:b/>
          <w:sz w:val="20"/>
        </w:rPr>
      </w:pPr>
    </w:p>
    <w:p w:rsidR="00B91BAF" w:rsidRDefault="00B91BAF" w:rsidP="00B91BAF">
      <w:pPr>
        <w:rPr>
          <w:b/>
          <w:sz w:val="20"/>
        </w:rPr>
      </w:pPr>
    </w:p>
    <w:p w:rsidR="00B91BAF" w:rsidRDefault="00B91BAF" w:rsidP="00B91BAF">
      <w:pPr>
        <w:spacing w:before="3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194"/>
        <w:gridCol w:w="2618"/>
        <w:gridCol w:w="4102"/>
      </w:tblGrid>
      <w:tr w:rsidR="00B91BAF" w:rsidRPr="00B91BAF" w:rsidTr="00B91BAF">
        <w:trPr>
          <w:trHeight w:val="34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6"/>
              <w:ind w:left="91" w:right="77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lastRenderedPageBreak/>
              <w:t>Date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6"/>
              <w:ind w:left="582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Publication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6"/>
              <w:ind w:left="734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Co-authored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6"/>
              <w:ind w:left="1826" w:right="1820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Title</w:t>
            </w:r>
          </w:p>
        </w:tc>
      </w:tr>
      <w:tr w:rsidR="00B91BAF" w:rsidRPr="00B91BAF" w:rsidTr="00B91BAF">
        <w:trPr>
          <w:trHeight w:val="70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95" w:right="74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left="109" w:right="216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Struct</w:t>
            </w:r>
            <w:proofErr w:type="spellEnd"/>
            <w:r w:rsidRPr="00B91BAF">
              <w:rPr>
                <w:i/>
                <w:color w:val="262626" w:themeColor="text1" w:themeTint="D9"/>
                <w:sz w:val="20"/>
              </w:rPr>
              <w:t xml:space="preserve">. Constr. Eng.,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Aij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b/>
                <w:color w:val="262626" w:themeColor="text1" w:themeTint="D9"/>
                <w:sz w:val="20"/>
              </w:rPr>
              <w:t>75</w:t>
            </w:r>
            <w:r w:rsidRPr="00B91BAF">
              <w:rPr>
                <w:color w:val="262626" w:themeColor="text1" w:themeTint="D9"/>
                <w:sz w:val="20"/>
              </w:rPr>
              <w:t>, 231-240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109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ProfessorToyoharuNawa</w:t>
            </w:r>
            <w:proofErr w:type="spellEnd"/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right="543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On Entraining Air 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type Water Reducer</w:t>
            </w:r>
          </w:p>
        </w:tc>
      </w:tr>
      <w:tr w:rsidR="00B91BAF" w:rsidRPr="00B91BAF" w:rsidTr="00B91BAF">
        <w:trPr>
          <w:trHeight w:val="106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95" w:right="74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2009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109"/>
              <w:rPr>
                <w:i/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Struct</w:t>
            </w:r>
            <w:proofErr w:type="spellEnd"/>
            <w:r w:rsidRPr="00B91BAF">
              <w:rPr>
                <w:i/>
                <w:color w:val="262626" w:themeColor="text1" w:themeTint="D9"/>
                <w:sz w:val="20"/>
              </w:rPr>
              <w:t>. Constr.</w:t>
            </w:r>
          </w:p>
          <w:p w:rsidR="00B91BAF" w:rsidRPr="00B91BAF" w:rsidRDefault="00B91BAF">
            <w:pPr>
              <w:pStyle w:val="TableParagraph"/>
              <w:spacing w:before="46"/>
              <w:ind w:left="109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Eng.,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Aij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b/>
                <w:color w:val="262626" w:themeColor="text1" w:themeTint="D9"/>
                <w:sz w:val="20"/>
              </w:rPr>
              <w:t>74</w:t>
            </w:r>
            <w:r w:rsidRPr="00B91BAF">
              <w:rPr>
                <w:color w:val="262626" w:themeColor="text1" w:themeTint="D9"/>
                <w:sz w:val="20"/>
              </w:rPr>
              <w:t>(636), 185-</w:t>
            </w:r>
          </w:p>
          <w:p w:rsidR="00B91BAF" w:rsidRPr="00B91BAF" w:rsidRDefault="00B91BAF">
            <w:pPr>
              <w:pStyle w:val="TableParagraph"/>
              <w:spacing w:before="31"/>
              <w:ind w:left="10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191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109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ProfessorToyoharuNawa</w:t>
            </w:r>
            <w:proofErr w:type="spellEnd"/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On Air Entraining Performance</w:t>
            </w:r>
          </w:p>
          <w:p w:rsidR="00B91BAF" w:rsidRPr="00B91BAF" w:rsidRDefault="00B91BAF">
            <w:pPr>
              <w:pStyle w:val="TableParagraph"/>
              <w:spacing w:before="46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type Water Reducer</w:t>
            </w:r>
          </w:p>
        </w:tc>
      </w:tr>
      <w:tr w:rsidR="00B91BAF" w:rsidRPr="00B91BAF" w:rsidTr="00B91BAF">
        <w:trPr>
          <w:trHeight w:val="142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43"/>
              <w:ind w:left="95" w:right="74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2009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43" w:line="288" w:lineRule="auto"/>
              <w:ind w:left="109" w:right="216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Struct</w:t>
            </w:r>
            <w:proofErr w:type="spellEnd"/>
            <w:r w:rsidRPr="00B91BAF">
              <w:rPr>
                <w:i/>
                <w:color w:val="262626" w:themeColor="text1" w:themeTint="D9"/>
                <w:sz w:val="20"/>
              </w:rPr>
              <w:t xml:space="preserve">. Constr. Eng.,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Aij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b/>
                <w:color w:val="262626" w:themeColor="text1" w:themeTint="D9"/>
                <w:sz w:val="20"/>
              </w:rPr>
              <w:t>74</w:t>
            </w:r>
            <w:r w:rsidRPr="00B91BAF">
              <w:rPr>
                <w:color w:val="262626" w:themeColor="text1" w:themeTint="D9"/>
                <w:sz w:val="20"/>
              </w:rPr>
              <w:t>, 765-773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43"/>
              <w:ind w:left="109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ProfessorToyoharuNawa</w:t>
            </w:r>
            <w:proofErr w:type="spellEnd"/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43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The Effect 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-</w:t>
            </w:r>
          </w:p>
          <w:p w:rsidR="00B91BAF" w:rsidRPr="00B91BAF" w:rsidRDefault="00B91BAF">
            <w:pPr>
              <w:pStyle w:val="TableParagraph"/>
              <w:spacing w:before="45" w:line="278" w:lineRule="auto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type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Controlled its Adsorption Rate onto the Cement Particles By Changing the Polymer Structure</w:t>
            </w:r>
          </w:p>
        </w:tc>
      </w:tr>
      <w:tr w:rsidR="00B91BAF" w:rsidRPr="00B91BAF" w:rsidTr="00B91BAF">
        <w:trPr>
          <w:trHeight w:val="142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3"/>
              <w:ind w:left="95" w:right="74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2008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 w:line="288" w:lineRule="auto"/>
              <w:ind w:left="110" w:right="348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>Japanese Journal of Polymer Science and Technology</w:t>
            </w:r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b/>
                <w:color w:val="262626" w:themeColor="text1" w:themeTint="D9"/>
                <w:sz w:val="20"/>
              </w:rPr>
              <w:t>65</w:t>
            </w:r>
            <w:r w:rsidRPr="00B91BAF">
              <w:rPr>
                <w:color w:val="262626" w:themeColor="text1" w:themeTint="D9"/>
                <w:sz w:val="20"/>
              </w:rPr>
              <w:t>, 659-</w:t>
            </w:r>
          </w:p>
          <w:p w:rsidR="00B91BAF" w:rsidRPr="00B91BAF" w:rsidRDefault="00B91BAF">
            <w:pPr>
              <w:pStyle w:val="TableParagraph"/>
              <w:spacing w:before="0" w:line="220" w:lineRule="exact"/>
              <w:ind w:left="11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669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3"/>
              <w:ind w:left="110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ProfessorToyoharuNawa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and</w:t>
            </w:r>
          </w:p>
          <w:p w:rsidR="00B91BAF" w:rsidRPr="00B91BAF" w:rsidRDefault="00B91BAF">
            <w:pPr>
              <w:pStyle w:val="TableParagraph"/>
              <w:spacing w:before="47"/>
              <w:ind w:left="11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T. Yuasa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 w:line="288" w:lineRule="auto"/>
              <w:ind w:right="224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Polymethacrylate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-graft-polyethylene Glycol as High-range Water Reducing Agent for a Concrete</w:t>
            </w:r>
          </w:p>
        </w:tc>
      </w:tr>
      <w:tr w:rsidR="00B91BAF" w:rsidRPr="00B91BAF" w:rsidTr="00B91BAF">
        <w:trPr>
          <w:trHeight w:val="142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95" w:right="74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2008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8" w:line="283" w:lineRule="auto"/>
              <w:ind w:left="109" w:right="216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Struct</w:t>
            </w:r>
            <w:proofErr w:type="spellEnd"/>
            <w:r w:rsidRPr="00B91BAF">
              <w:rPr>
                <w:i/>
                <w:color w:val="262626" w:themeColor="text1" w:themeTint="D9"/>
                <w:sz w:val="20"/>
              </w:rPr>
              <w:t xml:space="preserve">. Constr. Eng., </w:t>
            </w:r>
            <w:proofErr w:type="spellStart"/>
            <w:r w:rsidRPr="00B91BAF">
              <w:rPr>
                <w:i/>
                <w:color w:val="262626" w:themeColor="text1" w:themeTint="D9"/>
                <w:sz w:val="20"/>
              </w:rPr>
              <w:t>Aij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b/>
                <w:color w:val="262626" w:themeColor="text1" w:themeTint="D9"/>
                <w:sz w:val="20"/>
              </w:rPr>
              <w:t>73</w:t>
            </w:r>
            <w:r w:rsidRPr="00B91BAF">
              <w:rPr>
                <w:color w:val="262626" w:themeColor="text1" w:themeTint="D9"/>
                <w:sz w:val="20"/>
              </w:rPr>
              <w:t>, 685-691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109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ProfessorToyoharuNawa</w:t>
            </w:r>
            <w:proofErr w:type="spellEnd"/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8" w:line="283" w:lineRule="auto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The Gradual Release type-Slump Retentive Agent, which is Synthesized</w:t>
            </w:r>
          </w:p>
          <w:p w:rsidR="00B91BAF" w:rsidRPr="00B91BAF" w:rsidRDefault="00B91BAF">
            <w:pPr>
              <w:pStyle w:val="TableParagraph"/>
              <w:spacing w:before="3" w:line="280" w:lineRule="auto"/>
              <w:ind w:right="238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by Crosslinking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having Poly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ethyleneglycol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Pendant at Alkaline Hydrolytic Points, and its Manufacturing Method</w:t>
            </w:r>
          </w:p>
        </w:tc>
      </w:tr>
    </w:tbl>
    <w:p w:rsidR="00B91BAF" w:rsidRPr="00B91BAF" w:rsidRDefault="00B91BAF" w:rsidP="00B91BAF">
      <w:pPr>
        <w:spacing w:line="280" w:lineRule="auto"/>
        <w:rPr>
          <w:color w:val="262626" w:themeColor="text1" w:themeTint="D9"/>
          <w:sz w:val="20"/>
        </w:rPr>
        <w:sectPr w:rsidR="00B91BAF" w:rsidRPr="00B91BAF">
          <w:pgSz w:w="11920" w:h="16850"/>
          <w:pgMar w:top="1520" w:right="920" w:bottom="280" w:left="1200" w:header="720" w:footer="720" w:gutter="0"/>
          <w:cols w:space="720"/>
        </w:sectPr>
      </w:pPr>
    </w:p>
    <w:p w:rsidR="00B91BAF" w:rsidRPr="00B91BAF" w:rsidRDefault="00B91BAF" w:rsidP="00B91BAF">
      <w:pPr>
        <w:pStyle w:val="BodyText"/>
        <w:spacing w:before="69"/>
        <w:ind w:left="119"/>
        <w:rPr>
          <w:color w:val="262626" w:themeColor="text1" w:themeTint="D9"/>
        </w:rPr>
      </w:pPr>
      <w:r w:rsidRPr="00B91BAF">
        <w:rPr>
          <w:color w:val="262626" w:themeColor="text1" w:themeTint="D9"/>
        </w:rPr>
        <w:lastRenderedPageBreak/>
        <w:t>Published Papers</w:t>
      </w:r>
    </w:p>
    <w:tbl>
      <w:tblPr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371"/>
        <w:gridCol w:w="2069"/>
        <w:gridCol w:w="4267"/>
      </w:tblGrid>
      <w:tr w:rsidR="00B91BAF" w:rsidRPr="00B91BAF" w:rsidTr="00B91BAF">
        <w:trPr>
          <w:trHeight w:val="26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84" w:right="70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Date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695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Publication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486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Co-authored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1910" w:right="1902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Title</w:t>
            </w:r>
          </w:p>
        </w:tc>
      </w:tr>
      <w:tr w:rsidR="00B91BAF" w:rsidRPr="00B91BAF" w:rsidTr="00B91BAF">
        <w:trPr>
          <w:trHeight w:val="82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87" w:right="6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2017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7" w:line="276" w:lineRule="exact"/>
              <w:ind w:left="110" w:right="113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>Scientific Reports</w:t>
            </w:r>
            <w:r w:rsidRPr="00B91BAF">
              <w:rPr>
                <w:color w:val="262626" w:themeColor="text1" w:themeTint="D9"/>
                <w:sz w:val="20"/>
              </w:rPr>
              <w:t>, DOI:10.1038/s41598-017- 16048-3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J. Ye, P.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Branicio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,</w:t>
            </w:r>
          </w:p>
          <w:p w:rsidR="00B91BAF" w:rsidRPr="00B91BAF" w:rsidRDefault="00B91BAF">
            <w:pPr>
              <w:pStyle w:val="TableParagraph"/>
              <w:spacing w:before="6" w:line="270" w:lineRule="atLeast"/>
              <w:ind w:right="137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Zheng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, A. Lange, J. Plank and M. Sullivan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11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Adsorbed Conformations of</w:t>
            </w:r>
          </w:p>
          <w:p w:rsidR="00B91BAF" w:rsidRPr="00B91BAF" w:rsidRDefault="00B91BAF">
            <w:pPr>
              <w:pStyle w:val="TableParagraph"/>
              <w:spacing w:before="6" w:line="270" w:lineRule="atLeast"/>
              <w:ind w:left="11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PCE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in Cement Pore Solution Unraveled by Molecular Dynamics Simulations</w:t>
            </w:r>
          </w:p>
        </w:tc>
      </w:tr>
      <w:tr w:rsidR="00B91BAF" w:rsidRPr="00B91BAF" w:rsidTr="00B91BAF">
        <w:trPr>
          <w:trHeight w:val="108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87" w:right="6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2017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8" w:line="283" w:lineRule="auto"/>
              <w:ind w:left="110" w:right="132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Advances in Cement Research </w:t>
            </w:r>
            <w:r w:rsidRPr="00B91BAF">
              <w:rPr>
                <w:b/>
                <w:color w:val="262626" w:themeColor="text1" w:themeTint="D9"/>
                <w:sz w:val="20"/>
              </w:rPr>
              <w:t>29</w:t>
            </w:r>
            <w:r w:rsidRPr="00B91BAF">
              <w:rPr>
                <w:color w:val="262626" w:themeColor="text1" w:themeTint="D9"/>
                <w:sz w:val="20"/>
              </w:rPr>
              <w:t>(10), 418-428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P.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Branicio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, J. Ye,</w:t>
            </w:r>
          </w:p>
          <w:p w:rsidR="00B91BAF" w:rsidRPr="00B91BAF" w:rsidRDefault="00B91BAF">
            <w:pPr>
              <w:pStyle w:val="TableParagraph"/>
              <w:spacing w:before="46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J.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Zheng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, Y.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Tomike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>,</w:t>
            </w:r>
          </w:p>
          <w:p w:rsidR="00B91BAF" w:rsidRPr="00B91BAF" w:rsidRDefault="00B91BAF">
            <w:pPr>
              <w:pStyle w:val="TableParagraph"/>
              <w:spacing w:before="6" w:line="270" w:lineRule="atLeast"/>
              <w:ind w:right="39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A. Lange, J. Plank, and M. Sullivan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8" w:line="283" w:lineRule="auto"/>
              <w:ind w:left="109" w:right="166"/>
              <w:jc w:val="both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Atomistic Dynamics Simulation to Solve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Confor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-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mation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of Model PCE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in Water and Cement Pore Solution</w:t>
            </w:r>
          </w:p>
        </w:tc>
      </w:tr>
      <w:tr w:rsidR="00B91BAF" w:rsidRPr="00B91BAF" w:rsidTr="00B91BAF">
        <w:trPr>
          <w:trHeight w:val="82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87" w:right="6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2016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left="110" w:right="310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>The Society of Polymer Science</w:t>
            </w:r>
            <w:r w:rsidRPr="00B91BAF">
              <w:rPr>
                <w:color w:val="262626" w:themeColor="text1" w:themeTint="D9"/>
                <w:sz w:val="20"/>
              </w:rPr>
              <w:t xml:space="preserve">, </w:t>
            </w:r>
            <w:r w:rsidRPr="00B91BAF">
              <w:rPr>
                <w:i/>
                <w:color w:val="262626" w:themeColor="text1" w:themeTint="D9"/>
                <w:sz w:val="20"/>
              </w:rPr>
              <w:t xml:space="preserve">Japan </w:t>
            </w:r>
            <w:r w:rsidRPr="00B91BAF">
              <w:rPr>
                <w:b/>
                <w:color w:val="262626" w:themeColor="text1" w:themeTint="D9"/>
                <w:sz w:val="20"/>
              </w:rPr>
              <w:t>65</w:t>
            </w:r>
            <w:r w:rsidRPr="00B91BAF">
              <w:rPr>
                <w:color w:val="262626" w:themeColor="text1" w:themeTint="D9"/>
                <w:sz w:val="20"/>
              </w:rPr>
              <w:t>, 357-</w:t>
            </w:r>
          </w:p>
          <w:p w:rsidR="00B91BAF" w:rsidRPr="00B91BAF" w:rsidRDefault="00B91BAF">
            <w:pPr>
              <w:pStyle w:val="TableParagraph"/>
              <w:spacing w:before="0" w:line="215" w:lineRule="exact"/>
              <w:ind w:left="11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359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Sole author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109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for Concrete</w:t>
            </w:r>
          </w:p>
          <w:p w:rsidR="00B91BAF" w:rsidRPr="00B91BAF" w:rsidRDefault="00B91BAF">
            <w:pPr>
              <w:pStyle w:val="TableParagraph"/>
              <w:spacing w:before="6" w:line="270" w:lineRule="atLeast"/>
              <w:ind w:left="110" w:right="862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which were Originally Invented in Japan (Highlight Reviews: Cover Story)</w:t>
            </w:r>
          </w:p>
        </w:tc>
      </w:tr>
      <w:tr w:rsidR="00B91BAF" w:rsidRPr="00B91BAF" w:rsidTr="00B91BAF">
        <w:trPr>
          <w:trHeight w:val="54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87" w:right="6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7" w:line="276" w:lineRule="exact"/>
              <w:ind w:left="110" w:right="243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Manufacturing Technology </w:t>
            </w:r>
            <w:r w:rsidRPr="00B91BAF">
              <w:rPr>
                <w:b/>
                <w:color w:val="262626" w:themeColor="text1" w:themeTint="D9"/>
                <w:sz w:val="20"/>
              </w:rPr>
              <w:t>66</w:t>
            </w:r>
            <w:r w:rsidRPr="00B91BAF">
              <w:rPr>
                <w:color w:val="262626" w:themeColor="text1" w:themeTint="D9"/>
                <w:sz w:val="20"/>
              </w:rPr>
              <w:t>(4), 38-41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Sole author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10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Development of PCEs Based</w:t>
            </w:r>
          </w:p>
          <w:p w:rsidR="00B91BAF" w:rsidRPr="00B91BAF" w:rsidRDefault="00B91BAF">
            <w:pPr>
              <w:pStyle w:val="TableParagraph"/>
              <w:spacing w:before="29"/>
              <w:ind w:left="10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New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for Concrete (Cover Page)</w:t>
            </w:r>
          </w:p>
        </w:tc>
      </w:tr>
    </w:tbl>
    <w:p w:rsidR="00B91BAF" w:rsidRPr="00B91BAF" w:rsidRDefault="00B91BAF" w:rsidP="00B91BAF">
      <w:pPr>
        <w:rPr>
          <w:rFonts w:eastAsia="Times New Roman"/>
          <w:b/>
          <w:color w:val="262626" w:themeColor="text1" w:themeTint="D9"/>
        </w:rPr>
      </w:pPr>
    </w:p>
    <w:p w:rsidR="00B91BAF" w:rsidRPr="00B91BAF" w:rsidRDefault="00B91BAF" w:rsidP="00B91BAF">
      <w:pPr>
        <w:spacing w:before="1"/>
        <w:rPr>
          <w:b/>
          <w:color w:val="262626" w:themeColor="text1" w:themeTint="D9"/>
          <w:sz w:val="28"/>
        </w:rPr>
      </w:pPr>
    </w:p>
    <w:p w:rsidR="00B91BAF" w:rsidRPr="00B91BAF" w:rsidRDefault="00B91BAF" w:rsidP="00B91BAF">
      <w:pPr>
        <w:pStyle w:val="BodyText"/>
        <w:ind w:left="340"/>
        <w:rPr>
          <w:color w:val="262626" w:themeColor="text1" w:themeTint="D9"/>
        </w:rPr>
      </w:pPr>
      <w:r w:rsidRPr="00B91BAF">
        <w:rPr>
          <w:color w:val="262626" w:themeColor="text1" w:themeTint="D9"/>
        </w:rPr>
        <w:t>Principal Public Scientific Lectures</w:t>
      </w:r>
    </w:p>
    <w:tbl>
      <w:tblPr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447"/>
        <w:gridCol w:w="4162"/>
      </w:tblGrid>
      <w:tr w:rsidR="00B91BAF" w:rsidRPr="00B91BAF" w:rsidTr="00B91BAF">
        <w:trPr>
          <w:trHeight w:val="2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91" w:right="82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Date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1924" w:right="1923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Venue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9"/>
              <w:ind w:left="1429" w:right="1422"/>
              <w:jc w:val="center"/>
              <w:rPr>
                <w:b/>
                <w:color w:val="262626" w:themeColor="text1" w:themeTint="D9"/>
                <w:sz w:val="20"/>
              </w:rPr>
            </w:pPr>
            <w:r w:rsidRPr="00B91BAF">
              <w:rPr>
                <w:b/>
                <w:color w:val="262626" w:themeColor="text1" w:themeTint="D9"/>
                <w:sz w:val="20"/>
              </w:rPr>
              <w:t>Title of lecture</w:t>
            </w:r>
          </w:p>
        </w:tc>
      </w:tr>
      <w:tr w:rsidR="00B91BAF" w:rsidRPr="00B91BAF" w:rsidTr="00B91BAF">
        <w:trPr>
          <w:trHeight w:val="56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43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2016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9" w:line="276" w:lineRule="exact"/>
              <w:ind w:right="556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>The Society of Polymer Science, Japan</w:t>
            </w:r>
            <w:r w:rsidRPr="00B91BAF">
              <w:rPr>
                <w:color w:val="262626" w:themeColor="text1" w:themeTint="D9"/>
                <w:sz w:val="20"/>
              </w:rPr>
              <w:t>; Konan University in Japan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9" w:line="276" w:lineRule="exact"/>
              <w:ind w:left="105" w:right="933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Dawning of PCE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and Memories</w:t>
            </w:r>
          </w:p>
        </w:tc>
      </w:tr>
      <w:tr w:rsidR="00B91BAF" w:rsidRPr="00B91BAF" w:rsidTr="00B91BAF">
        <w:trPr>
          <w:trHeight w:val="54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1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2012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1" w:line="260" w:lineRule="atLeast"/>
              <w:ind w:right="250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Guest Lecture on Chair of Construction Chemistry at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Technische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Universität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München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in Germany,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1" w:line="260" w:lineRule="atLeast"/>
              <w:ind w:left="105" w:right="661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type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for concrete and their working mechanism</w:t>
            </w:r>
          </w:p>
        </w:tc>
      </w:tr>
      <w:tr w:rsidR="00B91BAF" w:rsidRPr="00B91BAF" w:rsidTr="00B91BAF">
        <w:trPr>
          <w:trHeight w:val="8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2005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7" w:line="276" w:lineRule="exact"/>
              <w:ind w:right="312"/>
              <w:jc w:val="both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Winter Symposium Semester Lecture on Chair of Construction Chemistry at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Technische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Universität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München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in Germany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left="105" w:right="655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The Development 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for Concrete in Japan</w:t>
            </w:r>
          </w:p>
        </w:tc>
      </w:tr>
      <w:tr w:rsidR="00B91BAF" w:rsidRPr="00B91BAF" w:rsidTr="00B91BAF">
        <w:trPr>
          <w:trHeight w:val="8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6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2005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2" w:line="276" w:lineRule="exact"/>
              <w:ind w:right="14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29</w:t>
            </w:r>
            <w:proofErr w:type="spellStart"/>
            <w:r w:rsidRPr="00B91BAF">
              <w:rPr>
                <w:color w:val="262626" w:themeColor="text1" w:themeTint="D9"/>
                <w:position w:val="7"/>
                <w:sz w:val="13"/>
              </w:rPr>
              <w:t>th</w:t>
            </w:r>
            <w:proofErr w:type="spellEnd"/>
            <w:r w:rsidRPr="00B91BAF">
              <w:rPr>
                <w:color w:val="262626" w:themeColor="text1" w:themeTint="D9"/>
                <w:position w:val="7"/>
                <w:sz w:val="13"/>
              </w:rPr>
              <w:t xml:space="preserve"> </w:t>
            </w:r>
            <w:r w:rsidRPr="00B91BAF">
              <w:rPr>
                <w:color w:val="262626" w:themeColor="text1" w:themeTint="D9"/>
                <w:sz w:val="20"/>
              </w:rPr>
              <w:t xml:space="preserve">Lecture, </w:t>
            </w:r>
            <w:r w:rsidRPr="00B91BAF">
              <w:rPr>
                <w:i/>
                <w:color w:val="262626" w:themeColor="text1" w:themeTint="D9"/>
                <w:sz w:val="20"/>
              </w:rPr>
              <w:t xml:space="preserve">The Society of Polymer Science, Japan </w:t>
            </w:r>
            <w:r w:rsidRPr="00B91BAF">
              <w:rPr>
                <w:color w:val="262626" w:themeColor="text1" w:themeTint="D9"/>
                <w:sz w:val="20"/>
              </w:rPr>
              <w:t>at Nara Institute of Science and Technology in Japan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8" w:line="283" w:lineRule="auto"/>
              <w:ind w:left="105" w:right="228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Cement Reducing Agent (Application of Water Soluble Polymer)</w:t>
            </w:r>
          </w:p>
        </w:tc>
      </w:tr>
      <w:tr w:rsidR="00B91BAF" w:rsidRPr="00B91BAF" w:rsidTr="00B91BAF">
        <w:trPr>
          <w:trHeight w:val="108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3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2005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3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Seminar for Technical Exchanges</w:t>
            </w:r>
          </w:p>
          <w:p w:rsidR="00B91BAF" w:rsidRPr="00B91BAF" w:rsidRDefault="00B91BAF">
            <w:pPr>
              <w:pStyle w:val="TableParagraph"/>
              <w:spacing w:before="45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-Based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by</w:t>
            </w:r>
          </w:p>
          <w:p w:rsidR="00B91BAF" w:rsidRPr="00B91BAF" w:rsidRDefault="00B91BAF">
            <w:pPr>
              <w:pStyle w:val="TableParagraph"/>
              <w:spacing w:before="1" w:line="270" w:lineRule="atLeast"/>
              <w:ind w:right="406" w:hanging="1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>Architectural Institute of China</w:t>
            </w:r>
            <w:r w:rsidRPr="00B91BAF">
              <w:rPr>
                <w:color w:val="262626" w:themeColor="text1" w:themeTint="D9"/>
                <w:sz w:val="20"/>
              </w:rPr>
              <w:t>, at China Hall of Science and Technology in Beijing, China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before="33" w:line="288" w:lineRule="auto"/>
              <w:ind w:left="105" w:right="639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 xml:space="preserve">Several Performances of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Polycarboxylate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- Based </w:t>
            </w:r>
            <w:proofErr w:type="spellStart"/>
            <w:r w:rsidRPr="00B91BAF">
              <w:rPr>
                <w:color w:val="262626" w:themeColor="text1" w:themeTint="D9"/>
                <w:sz w:val="20"/>
              </w:rPr>
              <w:t>Superplasticizers</w:t>
            </w:r>
            <w:proofErr w:type="spellEnd"/>
          </w:p>
        </w:tc>
      </w:tr>
      <w:tr w:rsidR="00B91BAF" w:rsidRPr="00B91BAF" w:rsidTr="00B91BAF">
        <w:trPr>
          <w:trHeight w:val="138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ind w:left="88" w:right="86"/>
              <w:jc w:val="center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1994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right="118"/>
              <w:rPr>
                <w:color w:val="262626" w:themeColor="text1" w:themeTint="D9"/>
                <w:sz w:val="20"/>
              </w:rPr>
            </w:pPr>
            <w:r w:rsidRPr="00B91BAF">
              <w:rPr>
                <w:i/>
                <w:color w:val="262626" w:themeColor="text1" w:themeTint="D9"/>
                <w:sz w:val="20"/>
              </w:rPr>
              <w:t xml:space="preserve">Mining and Materials Processing Institute of Japan/ Australasian Institute of Mining and Metallurgy </w:t>
            </w:r>
            <w:r w:rsidRPr="00B91BAF">
              <w:rPr>
                <w:color w:val="262626" w:themeColor="text1" w:themeTint="D9"/>
                <w:sz w:val="20"/>
              </w:rPr>
              <w:t>Joint Symposium at Yamaguchi University in Japan, New Horizons in Resource Handling</w:t>
            </w:r>
            <w:r w:rsidRPr="00B91BAF">
              <w:rPr>
                <w:color w:val="262626" w:themeColor="text1" w:themeTint="D9"/>
                <w:spacing w:val="-24"/>
                <w:sz w:val="20"/>
              </w:rPr>
              <w:t xml:space="preserve"> </w:t>
            </w:r>
            <w:r w:rsidRPr="00B91BAF">
              <w:rPr>
                <w:color w:val="262626" w:themeColor="text1" w:themeTint="D9"/>
                <w:sz w:val="20"/>
              </w:rPr>
              <w:t>and</w:t>
            </w:r>
          </w:p>
          <w:p w:rsidR="00B91BAF" w:rsidRPr="00B91BAF" w:rsidRDefault="00B91BAF">
            <w:pPr>
              <w:pStyle w:val="TableParagraph"/>
              <w:spacing w:before="1"/>
              <w:rPr>
                <w:color w:val="262626" w:themeColor="text1" w:themeTint="D9"/>
                <w:sz w:val="20"/>
              </w:rPr>
            </w:pPr>
            <w:r w:rsidRPr="00B91BAF">
              <w:rPr>
                <w:color w:val="262626" w:themeColor="text1" w:themeTint="D9"/>
                <w:sz w:val="20"/>
              </w:rPr>
              <w:t>Geo-Engineering,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BAF" w:rsidRPr="00B91BAF" w:rsidRDefault="00B91BAF">
            <w:pPr>
              <w:pStyle w:val="TableParagraph"/>
              <w:spacing w:line="288" w:lineRule="auto"/>
              <w:ind w:left="105" w:right="433"/>
              <w:rPr>
                <w:color w:val="262626" w:themeColor="text1" w:themeTint="D9"/>
                <w:sz w:val="20"/>
              </w:rPr>
            </w:pPr>
            <w:proofErr w:type="spellStart"/>
            <w:r w:rsidRPr="00B91BAF">
              <w:rPr>
                <w:color w:val="262626" w:themeColor="text1" w:themeTint="D9"/>
                <w:sz w:val="20"/>
              </w:rPr>
              <w:t>Polycarboxylic</w:t>
            </w:r>
            <w:proofErr w:type="spellEnd"/>
            <w:r w:rsidRPr="00B91BAF">
              <w:rPr>
                <w:color w:val="262626" w:themeColor="text1" w:themeTint="D9"/>
                <w:sz w:val="20"/>
              </w:rPr>
              <w:t xml:space="preserve"> acid based cement dispersant AQUALOC®</w:t>
            </w:r>
          </w:p>
        </w:tc>
      </w:tr>
    </w:tbl>
    <w:p w:rsidR="00B91BAF" w:rsidRPr="00B91BAF" w:rsidRDefault="00B91BAF" w:rsidP="00B91BAF">
      <w:pPr>
        <w:rPr>
          <w:rFonts w:eastAsia="Times New Roman"/>
          <w:color w:val="262626" w:themeColor="text1" w:themeTint="D9"/>
        </w:rPr>
      </w:pPr>
    </w:p>
    <w:p w:rsidR="00B91BAF" w:rsidRPr="00B91BAF" w:rsidRDefault="00B91BAF" w:rsidP="00B91BAF">
      <w:bookmarkStart w:id="0" w:name="_GoBack"/>
      <w:bookmarkEnd w:id="0"/>
    </w:p>
    <w:sectPr w:rsidR="00B91BAF" w:rsidRPr="00B9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8DD"/>
    <w:multiLevelType w:val="hybridMultilevel"/>
    <w:tmpl w:val="352C67CE"/>
    <w:lvl w:ilvl="0" w:tplc="11624C58">
      <w:start w:val="1"/>
      <w:numFmt w:val="decimal"/>
      <w:pStyle w:val="ListBullet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>
    <w:nsid w:val="0F044AC4"/>
    <w:multiLevelType w:val="multilevel"/>
    <w:tmpl w:val="EAA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4C4B"/>
    <w:multiLevelType w:val="multilevel"/>
    <w:tmpl w:val="2B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31117"/>
    <w:multiLevelType w:val="multilevel"/>
    <w:tmpl w:val="A17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E69A2"/>
    <w:multiLevelType w:val="multilevel"/>
    <w:tmpl w:val="8EA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83F14"/>
    <w:multiLevelType w:val="hybridMultilevel"/>
    <w:tmpl w:val="17E61720"/>
    <w:lvl w:ilvl="0" w:tplc="84843AEE">
      <w:start w:val="1"/>
      <w:numFmt w:val="decimal"/>
      <w:pStyle w:val="ListBullet2"/>
      <w:suff w:val="space"/>
      <w:lvlText w:val="%1."/>
      <w:lvlJc w:val="left"/>
      <w:pPr>
        <w:ind w:left="280" w:hanging="2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276518B3"/>
    <w:multiLevelType w:val="multilevel"/>
    <w:tmpl w:val="73B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77C00"/>
    <w:multiLevelType w:val="hybridMultilevel"/>
    <w:tmpl w:val="C6F4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24A0B"/>
    <w:multiLevelType w:val="hybridMultilevel"/>
    <w:tmpl w:val="B6E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E1E57"/>
    <w:multiLevelType w:val="multilevel"/>
    <w:tmpl w:val="444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27747"/>
    <w:multiLevelType w:val="hybridMultilevel"/>
    <w:tmpl w:val="5B343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27D0"/>
    <w:multiLevelType w:val="multilevel"/>
    <w:tmpl w:val="23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528FB"/>
    <w:multiLevelType w:val="hybridMultilevel"/>
    <w:tmpl w:val="B03C9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894626"/>
    <w:multiLevelType w:val="hybridMultilevel"/>
    <w:tmpl w:val="CF102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70354"/>
    <w:multiLevelType w:val="multilevel"/>
    <w:tmpl w:val="ACC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F1507"/>
    <w:multiLevelType w:val="multilevel"/>
    <w:tmpl w:val="D42C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63551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74F68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A0C0E"/>
    <w:multiLevelType w:val="multilevel"/>
    <w:tmpl w:val="3D8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4"/>
  </w:num>
  <w:num w:numId="10">
    <w:abstractNumId w:val="16"/>
  </w:num>
  <w:num w:numId="11">
    <w:abstractNumId w:val="17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8"/>
  </w:num>
  <w:num w:numId="18">
    <w:abstractNumId w:val="1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7"/>
    <w:rsid w:val="000A34B9"/>
    <w:rsid w:val="000B7E8C"/>
    <w:rsid w:val="000E1D1F"/>
    <w:rsid w:val="00152EA6"/>
    <w:rsid w:val="00272D32"/>
    <w:rsid w:val="00330413"/>
    <w:rsid w:val="005F2E88"/>
    <w:rsid w:val="006841EE"/>
    <w:rsid w:val="00761EF6"/>
    <w:rsid w:val="00771002"/>
    <w:rsid w:val="009D286B"/>
    <w:rsid w:val="00A36CC3"/>
    <w:rsid w:val="00B91BAF"/>
    <w:rsid w:val="00C00EB6"/>
    <w:rsid w:val="00F30457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Default">
    <w:name w:val="Default"/>
    <w:rsid w:val="00761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9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91BA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91BAF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Default">
    <w:name w:val="Default"/>
    <w:rsid w:val="00761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9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91BA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91BAF"/>
    <w:pPr>
      <w:widowControl w:val="0"/>
      <w:autoSpaceDE w:val="0"/>
      <w:autoSpaceDN w:val="0"/>
      <w:spacing w:before="41"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D167-E5CE-4924-B4CD-9C59110E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Designer</dc:creator>
  <cp:lastModifiedBy>Web Designer</cp:lastModifiedBy>
  <cp:revision>3</cp:revision>
  <dcterms:created xsi:type="dcterms:W3CDTF">2018-01-25T12:36:00Z</dcterms:created>
  <dcterms:modified xsi:type="dcterms:W3CDTF">2018-01-25T12:45:00Z</dcterms:modified>
</cp:coreProperties>
</file>